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02"/>
        <w:gridCol w:w="1871"/>
        <w:gridCol w:w="2467"/>
        <w:gridCol w:w="2402"/>
        <w:gridCol w:w="2338"/>
      </w:tblGrid>
      <w:tr w:rsidR="00E729E1" w:rsidRPr="00E729E1" w:rsidTr="00E729E1">
        <w:trPr>
          <w:trHeight w:val="240"/>
        </w:trPr>
        <w:tc>
          <w:tcPr>
            <w:tcW w:w="111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342766" w:rsidP="0034276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342766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Table S1. Network estimates of the palliative bile duct stent in terms of recurrent biliary obstruction and adverse events.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Outcome</w:t>
            </w:r>
          </w:p>
        </w:tc>
        <w:tc>
          <w:tcPr>
            <w:tcW w:w="1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Stent type</w:t>
            </w:r>
          </w:p>
        </w:tc>
        <w:tc>
          <w:tcPr>
            <w:tcW w:w="7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Compared stent type</w:t>
            </w:r>
          </w:p>
        </w:tc>
      </w:tr>
      <w:tr w:rsidR="00E729E1" w:rsidRPr="00E729E1" w:rsidTr="00E729E1">
        <w:trPr>
          <w:trHeight w:val="480"/>
        </w:trPr>
        <w:tc>
          <w:tcPr>
            <w:tcW w:w="210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vs. plastic stent</w:t>
            </w: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br/>
              <w:t>RR (95% CI)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vs. uncovered SEMS</w:t>
            </w: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br/>
              <w:t>RR (95% CI)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vs. covered SEMS</w:t>
            </w: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br/>
              <w:t>RR (95% CI)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342766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RBO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Plastic stent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2.15 (1.62–2.87)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2.19 (1.62–2.97)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Uncovered SEMS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0.46 (0.35–0.62)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1.02 (0.80–1.30)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Covered SEMS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0.46 (0.34–0.62)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0.98 (0.77–1.25)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Occlusion by sludge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Plastic stent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11.70 (5.43–25.23)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5.94 (2.69–13.13)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Uncovered SEMS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0.09 (0.04–0.18)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0.51 (0.31–0.83)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Covered SEMS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0.17 (0.08–0.37)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1.97 (1.20–3.23)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Tumor ingrowth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Plastic stent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0.04 (0.00–0.39)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0.19 (0.02–1.78)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Uncovered SEMS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23.79 (2.54–222.81)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4.49 (2.21–9.09)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Covered SEMS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5.30 (0.56–50.01)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0.22 (0.11–0.45)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Tumor overgrowth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Plastic stent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0.32 (0.04–2.83)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0.16 (0.02–1.34)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Uncovered SEMS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3.17 (0.35–28.42)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0.50 (0.30–0.85)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Covered SEMS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6.29 (0.75–52.89)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1.98 (1.18–3.34)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Stent migration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Plastic stent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3.45 (0.86–13.84)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0.41 (0.13–1.34)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Uncovered SEMS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0.29 (0.07–1.16)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0.12 (0.04–0.35)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Covered SEMS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2.43 (0.74–7.94)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8.38 (2.83–24.84)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Cholangitis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Plastic stent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1.59 (0.89–2.84)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2.37 (1.003–5.60)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Uncovered SEMS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0.63 (0.35–1.13)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1.49 (0.73–3.07)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Covered SEMS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0.42 (0.18–0.997)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0.67 (0.33–1.38)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Cholecystitis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Plastic stent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0.69 (0.14–3.31)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0.43 (0.10–1.91)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Uncovered SEMS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1.46 (0.30–7.04)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0.63 (0.31–1.28)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Covered SEMS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2.30 (0.52–10.12)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1.58 (0.78–3.19)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Pancreatitis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Plastic stent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2.64 (0.62–11.35)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1.42 (0.35–5.77)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Uncovered SEMS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0.38 (0.09–1.63)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0.54 (0.22–1.33)</w:t>
            </w:r>
          </w:p>
        </w:tc>
      </w:tr>
      <w:tr w:rsidR="00E729E1" w:rsidRPr="00E729E1" w:rsidTr="00E729E1">
        <w:trPr>
          <w:trHeight w:val="240"/>
        </w:trPr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Covered SEMS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0.70 (0.17–2.84)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1.86 (0.75–4.58)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E729E1" w:rsidP="0034276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E729E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</w:tr>
      <w:tr w:rsidR="00E729E1" w:rsidRPr="00E729E1" w:rsidTr="00E729E1">
        <w:trPr>
          <w:trHeight w:val="240"/>
        </w:trPr>
        <w:tc>
          <w:tcPr>
            <w:tcW w:w="111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9E1" w:rsidRPr="00E729E1" w:rsidRDefault="00342766" w:rsidP="00E729E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342766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RBO, recurrent biliary obstruction; SEMS, self-expandable metal s</w:t>
            </w: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tent; RR, risk ratio; CI, confi</w:t>
            </w:r>
            <w:bookmarkStart w:id="0" w:name="_GoBack"/>
            <w:bookmarkEnd w:id="0"/>
            <w:r w:rsidRPr="00342766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dence interval.</w:t>
            </w:r>
          </w:p>
        </w:tc>
      </w:tr>
    </w:tbl>
    <w:p w:rsidR="003E354B" w:rsidRPr="00E729E1" w:rsidRDefault="003E354B" w:rsidP="00250274"/>
    <w:sectPr w:rsidR="003E354B" w:rsidRPr="00E729E1" w:rsidSect="00250274">
      <w:pgSz w:w="16838" w:h="11906" w:orient="landscape" w:code="9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2CC" w:rsidRDefault="00E002CC" w:rsidP="00E729E1">
      <w:pPr>
        <w:spacing w:after="0" w:line="240" w:lineRule="auto"/>
      </w:pPr>
      <w:r>
        <w:separator/>
      </w:r>
    </w:p>
  </w:endnote>
  <w:endnote w:type="continuationSeparator" w:id="0">
    <w:p w:rsidR="00E002CC" w:rsidRDefault="00E002CC" w:rsidP="00E72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2CC" w:rsidRDefault="00E002CC" w:rsidP="00E729E1">
      <w:pPr>
        <w:spacing w:after="0" w:line="240" w:lineRule="auto"/>
      </w:pPr>
      <w:r>
        <w:separator/>
      </w:r>
    </w:p>
  </w:footnote>
  <w:footnote w:type="continuationSeparator" w:id="0">
    <w:p w:rsidR="00E002CC" w:rsidRDefault="00E002CC" w:rsidP="00E729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3Mze0NDIxNjczNbJU0lEKTi0uzszPAykwqgUAMMgmlywAAAA="/>
  </w:docVars>
  <w:rsids>
    <w:rsidRoot w:val="006B070A"/>
    <w:rsid w:val="00250274"/>
    <w:rsid w:val="00342766"/>
    <w:rsid w:val="003E354B"/>
    <w:rsid w:val="005A5B96"/>
    <w:rsid w:val="006B070A"/>
    <w:rsid w:val="00820D8C"/>
    <w:rsid w:val="00A47007"/>
    <w:rsid w:val="00B13C87"/>
    <w:rsid w:val="00C038D7"/>
    <w:rsid w:val="00E002CC"/>
    <w:rsid w:val="00E7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0E7CBA"/>
  <w15:chartTrackingRefBased/>
  <w15:docId w15:val="{56DCB25F-3730-4895-95F4-C35E7F961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29E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729E1"/>
  </w:style>
  <w:style w:type="paragraph" w:styleId="a4">
    <w:name w:val="footer"/>
    <w:basedOn w:val="a"/>
    <w:link w:val="Char0"/>
    <w:uiPriority w:val="99"/>
    <w:unhideWhenUsed/>
    <w:rsid w:val="00E729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72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9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CHAN HYUK</dc:creator>
  <cp:keywords/>
  <dc:description/>
  <cp:lastModifiedBy>PARK CHAN HYUK</cp:lastModifiedBy>
  <cp:revision>6</cp:revision>
  <dcterms:created xsi:type="dcterms:W3CDTF">2020-05-01T00:46:00Z</dcterms:created>
  <dcterms:modified xsi:type="dcterms:W3CDTF">2021-01-30T05:50:00Z</dcterms:modified>
</cp:coreProperties>
</file>